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26D" w:rsidRDefault="00D7261E" w:rsidP="00D96F7A">
      <w:pPr>
        <w:jc w:val="both"/>
        <w:rPr>
          <w:b/>
          <w:lang w:val="es-ES"/>
        </w:rPr>
      </w:pPr>
      <w:r w:rsidRPr="00D7261E">
        <w:rPr>
          <w:b/>
          <w:lang w:val="es-ES"/>
        </w:rPr>
        <w:t xml:space="preserve">Renishaw lanza la versión 2.1 de su </w:t>
      </w:r>
      <w:proofErr w:type="gramStart"/>
      <w:r w:rsidRPr="00D7261E">
        <w:rPr>
          <w:b/>
          <w:lang w:val="es-ES"/>
        </w:rPr>
        <w:t>app</w:t>
      </w:r>
      <w:proofErr w:type="gramEnd"/>
      <w:r w:rsidRPr="00D7261E">
        <w:rPr>
          <w:b/>
          <w:lang w:val="es-ES"/>
        </w:rPr>
        <w:t xml:space="preserve"> NC4 para controles CNC</w:t>
      </w:r>
    </w:p>
    <w:p w:rsidR="00D7261E" w:rsidRDefault="00D7261E" w:rsidP="00D96F7A">
      <w:pPr>
        <w:jc w:val="both"/>
        <w:rPr>
          <w:lang w:val="es-ES"/>
        </w:rPr>
      </w:pPr>
      <w:bookmarkStart w:id="0" w:name="_GoBack"/>
      <w:r w:rsidRPr="00D7261E">
        <w:rPr>
          <w:lang w:val="es-ES"/>
        </w:rPr>
        <w:t>El uso del móvil ha aumentado en el sector industrial en los últimos años</w:t>
      </w:r>
      <w:r w:rsidR="007720E9">
        <w:rPr>
          <w:lang w:val="es-ES"/>
        </w:rPr>
        <w:t>;</w:t>
      </w:r>
      <w:r w:rsidRPr="00D7261E">
        <w:rPr>
          <w:lang w:val="es-ES"/>
        </w:rPr>
        <w:t xml:space="preserve"> </w:t>
      </w:r>
      <w:r w:rsidR="007720E9">
        <w:rPr>
          <w:lang w:val="es-ES"/>
        </w:rPr>
        <w:t>n</w:t>
      </w:r>
      <w:r w:rsidRPr="00D7261E">
        <w:rPr>
          <w:lang w:val="es-ES"/>
        </w:rPr>
        <w:t xml:space="preserve">o hablamos solo de la utilidad que comerciales puedan darle al mismo, sino que es posible realizar tareas técnicas </w:t>
      </w:r>
      <w:r>
        <w:rPr>
          <w:lang w:val="es-ES"/>
        </w:rPr>
        <w:t>y configuraciones desde ellos</w:t>
      </w:r>
      <w:r w:rsidRPr="00D7261E">
        <w:rPr>
          <w:lang w:val="es-ES"/>
        </w:rPr>
        <w:t>. Renishaw</w:t>
      </w:r>
      <w:r w:rsidR="007720E9">
        <w:rPr>
          <w:lang w:val="es-ES"/>
        </w:rPr>
        <w:t>,</w:t>
      </w:r>
      <w:r w:rsidRPr="00D7261E">
        <w:rPr>
          <w:lang w:val="es-ES"/>
        </w:rPr>
        <w:t xml:space="preserve"> consciente de la ventaja que poseen los móviles y sus aplicaciones en facilitar </w:t>
      </w:r>
      <w:r w:rsidR="007E1D15">
        <w:rPr>
          <w:lang w:val="es-ES"/>
        </w:rPr>
        <w:t>algunas tareas</w:t>
      </w:r>
      <w:r w:rsidR="007720E9">
        <w:rPr>
          <w:lang w:val="es-ES"/>
        </w:rPr>
        <w:t>,</w:t>
      </w:r>
      <w:r>
        <w:rPr>
          <w:lang w:val="es-ES"/>
        </w:rPr>
        <w:t xml:space="preserve"> ha desarrollado una serie de </w:t>
      </w:r>
      <w:r w:rsidR="007E1D15">
        <w:rPr>
          <w:lang w:val="es-ES"/>
        </w:rPr>
        <w:t>aplicaciones</w:t>
      </w:r>
      <w:r>
        <w:rPr>
          <w:lang w:val="es-ES"/>
        </w:rPr>
        <w:t xml:space="preserve"> para sus </w:t>
      </w:r>
      <w:r w:rsidR="007720E9">
        <w:rPr>
          <w:lang w:val="es-ES"/>
        </w:rPr>
        <w:t>sondas</w:t>
      </w:r>
      <w:r>
        <w:rPr>
          <w:lang w:val="es-ES"/>
        </w:rPr>
        <w:t xml:space="preserve"> de medición en máquina-herramienta que facilitan al usuario la información y configuración en un formato práctico </w:t>
      </w:r>
      <w:r w:rsidR="007720E9">
        <w:rPr>
          <w:lang w:val="es-ES"/>
        </w:rPr>
        <w:t>e</w:t>
      </w:r>
      <w:r>
        <w:rPr>
          <w:lang w:val="es-ES"/>
        </w:rPr>
        <w:t xml:space="preserve"> intuitivo.</w:t>
      </w:r>
    </w:p>
    <w:p w:rsidR="00CB0F49" w:rsidRDefault="00D7261E" w:rsidP="00D96F7A">
      <w:pPr>
        <w:jc w:val="both"/>
        <w:rPr>
          <w:lang w:val="es-ES"/>
        </w:rPr>
      </w:pPr>
      <w:r>
        <w:rPr>
          <w:lang w:val="es-ES"/>
        </w:rPr>
        <w:t xml:space="preserve">Estas aplicaciones se descargan de manera gratuita tanto en interfaz Android como </w:t>
      </w:r>
      <w:r w:rsidR="00CB0F49">
        <w:rPr>
          <w:lang w:val="es-ES"/>
        </w:rPr>
        <w:t>iOS,</w:t>
      </w:r>
      <w:r w:rsidR="007720E9">
        <w:rPr>
          <w:lang w:val="es-ES"/>
        </w:rPr>
        <w:t xml:space="preserve"> y</w:t>
      </w:r>
      <w:r w:rsidR="00CB0F49">
        <w:rPr>
          <w:lang w:val="es-ES"/>
        </w:rPr>
        <w:t xml:space="preserve"> cada</w:t>
      </w:r>
      <w:r>
        <w:rPr>
          <w:lang w:val="es-ES"/>
        </w:rPr>
        <w:t xml:space="preserve"> una de las aplicaciones </w:t>
      </w:r>
      <w:r w:rsidR="00D96F7A">
        <w:rPr>
          <w:lang w:val="es-ES"/>
        </w:rPr>
        <w:t>móviles</w:t>
      </w:r>
      <w:r>
        <w:rPr>
          <w:lang w:val="es-ES"/>
        </w:rPr>
        <w:t xml:space="preserve"> son compatibles con una amplia gama de controles CNC, </w:t>
      </w:r>
      <w:r w:rsidR="007720E9">
        <w:rPr>
          <w:lang w:val="es-ES"/>
        </w:rPr>
        <w:t>tales como</w:t>
      </w:r>
      <w:r>
        <w:rPr>
          <w:lang w:val="es-ES"/>
        </w:rPr>
        <w:t xml:space="preserve"> Mazak, Fanuc</w:t>
      </w:r>
      <w:r w:rsidR="007720E9">
        <w:rPr>
          <w:lang w:val="es-ES"/>
        </w:rPr>
        <w:t xml:space="preserve"> y</w:t>
      </w:r>
      <w:r>
        <w:rPr>
          <w:lang w:val="es-ES"/>
        </w:rPr>
        <w:t xml:space="preserve"> </w:t>
      </w:r>
      <w:r w:rsidR="00CB0F49">
        <w:rPr>
          <w:lang w:val="es-ES"/>
        </w:rPr>
        <w:t>Siemens entre otr</w:t>
      </w:r>
      <w:r w:rsidR="007720E9">
        <w:rPr>
          <w:lang w:val="es-ES"/>
        </w:rPr>
        <w:t>o</w:t>
      </w:r>
      <w:r w:rsidR="00CB0F49">
        <w:rPr>
          <w:lang w:val="es-ES"/>
        </w:rPr>
        <w:t>s.</w:t>
      </w:r>
    </w:p>
    <w:p w:rsidR="00CB0F49" w:rsidRDefault="00CB0F49" w:rsidP="00D96F7A">
      <w:pPr>
        <w:jc w:val="both"/>
        <w:rPr>
          <w:lang w:val="es-ES"/>
        </w:rPr>
      </w:pPr>
      <w:r>
        <w:rPr>
          <w:lang w:val="es-ES"/>
        </w:rPr>
        <w:t>NC4 es una de las aplicaciones de Renishaw que permite configurar y facilitar la gestión al operario de las sondas de reglaje sin contacto en pocos pasos</w:t>
      </w:r>
      <w:r w:rsidR="007720E9">
        <w:rPr>
          <w:lang w:val="es-ES"/>
        </w:rPr>
        <w:t>.</w:t>
      </w:r>
      <w:r>
        <w:rPr>
          <w:lang w:val="es-ES"/>
        </w:rPr>
        <w:t xml:space="preserve"> </w:t>
      </w:r>
      <w:r w:rsidR="007720E9">
        <w:rPr>
          <w:lang w:val="es-ES"/>
        </w:rPr>
        <w:t>L</w:t>
      </w:r>
      <w:r>
        <w:rPr>
          <w:lang w:val="es-ES"/>
        </w:rPr>
        <w:t xml:space="preserve">a </w:t>
      </w:r>
      <w:r w:rsidR="007E1D15">
        <w:rPr>
          <w:lang w:val="es-ES"/>
        </w:rPr>
        <w:t xml:space="preserve">aplicación para </w:t>
      </w:r>
      <w:r>
        <w:rPr>
          <w:lang w:val="es-ES"/>
        </w:rPr>
        <w:t xml:space="preserve">NC4 pone a disposición del técnico un punto centralizado de referencia de las tareas de mantenimiento y localización de los problemas. A inicios del 2019 Renishaw ha lanzado </w:t>
      </w:r>
      <w:r w:rsidR="007720E9">
        <w:rPr>
          <w:lang w:val="es-ES"/>
        </w:rPr>
        <w:t>una</w:t>
      </w:r>
      <w:r>
        <w:rPr>
          <w:lang w:val="es-ES"/>
        </w:rPr>
        <w:t xml:space="preserve"> actualización de esta </w:t>
      </w:r>
      <w:r w:rsidR="007E1D15">
        <w:rPr>
          <w:lang w:val="es-ES"/>
        </w:rPr>
        <w:t>aplicación</w:t>
      </w:r>
      <w:r>
        <w:rPr>
          <w:lang w:val="es-ES"/>
        </w:rPr>
        <w:t xml:space="preserve"> para máquina-herramienta</w:t>
      </w:r>
      <w:r w:rsidR="007720E9">
        <w:rPr>
          <w:lang w:val="es-ES"/>
        </w:rPr>
        <w:t>. La</w:t>
      </w:r>
      <w:r>
        <w:rPr>
          <w:lang w:val="es-ES"/>
        </w:rPr>
        <w:t xml:space="preserve"> nueva versión 2.1 </w:t>
      </w:r>
      <w:r w:rsidR="007720E9">
        <w:rPr>
          <w:lang w:val="es-ES"/>
        </w:rPr>
        <w:t xml:space="preserve">ayuda a </w:t>
      </w:r>
      <w:r>
        <w:rPr>
          <w:lang w:val="es-ES"/>
        </w:rPr>
        <w:t>integrar un s</w:t>
      </w:r>
      <w:r w:rsidR="007720E9">
        <w:rPr>
          <w:lang w:val="es-ES"/>
        </w:rPr>
        <w:t>istema</w:t>
      </w:r>
      <w:r>
        <w:rPr>
          <w:lang w:val="es-ES"/>
        </w:rPr>
        <w:t xml:space="preserve"> de reglaje de herramientas en controles CNC Heidenhain.</w:t>
      </w:r>
    </w:p>
    <w:p w:rsidR="00CB0F49" w:rsidRDefault="00CB0F49" w:rsidP="00D96F7A">
      <w:pPr>
        <w:jc w:val="both"/>
        <w:rPr>
          <w:lang w:val="es-ES"/>
        </w:rPr>
      </w:pPr>
      <w:r>
        <w:rPr>
          <w:lang w:val="es-ES"/>
        </w:rPr>
        <w:t>Si quiere conocer y descargar las aplicaciones de Renishaw para máquina-herramienta puede hacerlo desde el siguiente enlace</w:t>
      </w:r>
      <w:bookmarkEnd w:id="0"/>
      <w:r>
        <w:rPr>
          <w:lang w:val="es-ES"/>
        </w:rPr>
        <w:t xml:space="preserve">: </w:t>
      </w:r>
      <w:hyperlink r:id="rId6" w:history="1">
        <w:r w:rsidRPr="00391648">
          <w:rPr>
            <w:rStyle w:val="Hyperlink"/>
            <w:lang w:val="es-ES"/>
          </w:rPr>
          <w:t>https://www.renishaw.es/es/aplicaciones-para-maquina-herramienta--42373</w:t>
        </w:r>
      </w:hyperlink>
      <w:r>
        <w:rPr>
          <w:lang w:val="es-ES"/>
        </w:rPr>
        <w:t xml:space="preserve"> </w:t>
      </w:r>
    </w:p>
    <w:p w:rsidR="00CB0F49" w:rsidRDefault="00CB0F49" w:rsidP="00983D23">
      <w:pPr>
        <w:rPr>
          <w:lang w:val="es-ES"/>
        </w:rPr>
      </w:pPr>
    </w:p>
    <w:p w:rsidR="00CB0F49" w:rsidRDefault="00CB0F49" w:rsidP="00983D23">
      <w:pPr>
        <w:rPr>
          <w:lang w:val="es-ES"/>
        </w:rPr>
      </w:pPr>
    </w:p>
    <w:p w:rsidR="00D7261E" w:rsidRPr="00D7261E" w:rsidRDefault="00D7261E" w:rsidP="00983D23">
      <w:pPr>
        <w:rPr>
          <w:lang w:val="es-ES"/>
        </w:rPr>
      </w:pPr>
    </w:p>
    <w:p w:rsidR="00D7261E" w:rsidRPr="00D7261E" w:rsidRDefault="00D7261E" w:rsidP="00983D23">
      <w:pPr>
        <w:rPr>
          <w:lang w:val="es-ES"/>
        </w:rPr>
      </w:pPr>
    </w:p>
    <w:sectPr w:rsidR="00D7261E" w:rsidRPr="00D7261E" w:rsidSect="000F10AA">
      <w:headerReference w:type="even" r:id="rId7"/>
      <w:headerReference w:type="default" r:id="rId8"/>
      <w:footerReference w:type="default" r:id="rId9"/>
      <w:pgSz w:w="11906" w:h="16838"/>
      <w:pgMar w:top="2438" w:right="1416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91F" w:rsidRDefault="004C491F">
      <w:pPr>
        <w:spacing w:after="0" w:line="240" w:lineRule="auto"/>
      </w:pPr>
      <w:r>
        <w:separator/>
      </w:r>
    </w:p>
  </w:endnote>
  <w:endnote w:type="continuationSeparator" w:id="0">
    <w:p w:rsidR="004C491F" w:rsidRDefault="004C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  <w:szCs w:val="20"/>
      </w:rPr>
      <w:id w:val="-20845245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46B0" w:rsidRPr="0053602F" w:rsidRDefault="009231E7" w:rsidP="00EE46B0">
        <w:pPr>
          <w:pStyle w:val="Footer"/>
          <w:jc w:val="right"/>
          <w:rPr>
            <w:rFonts w:cs="Arial"/>
            <w:noProof/>
            <w:szCs w:val="20"/>
          </w:rPr>
        </w:pPr>
        <w:r w:rsidRPr="0053602F">
          <w:rPr>
            <w:rFonts w:cs="Arial"/>
            <w:szCs w:val="20"/>
          </w:rPr>
          <w:fldChar w:fldCharType="begin"/>
        </w:r>
        <w:r w:rsidRPr="0053602F">
          <w:rPr>
            <w:rFonts w:cs="Arial"/>
            <w:szCs w:val="20"/>
          </w:rPr>
          <w:instrText xml:space="preserve"> PAGE   \* MERGEFORMAT </w:instrText>
        </w:r>
        <w:r w:rsidRPr="0053602F">
          <w:rPr>
            <w:rFonts w:cs="Arial"/>
            <w:szCs w:val="20"/>
          </w:rPr>
          <w:fldChar w:fldCharType="separate"/>
        </w:r>
        <w:r w:rsidR="000F10AA">
          <w:rPr>
            <w:rFonts w:cs="Arial"/>
            <w:noProof/>
            <w:szCs w:val="20"/>
          </w:rPr>
          <w:t>1</w:t>
        </w:r>
        <w:r w:rsidRPr="0053602F">
          <w:rPr>
            <w:rFonts w:cs="Arial"/>
            <w:noProof/>
            <w:szCs w:val="20"/>
          </w:rPr>
          <w:fldChar w:fldCharType="end"/>
        </w:r>
        <w:r w:rsidRPr="0053602F">
          <w:rPr>
            <w:rFonts w:cs="Arial"/>
            <w:noProof/>
            <w:szCs w:val="20"/>
          </w:rPr>
          <w:t xml:space="preserve"> of </w:t>
        </w:r>
        <w:r w:rsidRPr="0053602F">
          <w:rPr>
            <w:rFonts w:cs="Arial"/>
            <w:szCs w:val="20"/>
          </w:rPr>
          <w:fldChar w:fldCharType="begin"/>
        </w:r>
        <w:r w:rsidRPr="0053602F">
          <w:rPr>
            <w:rFonts w:cs="Arial"/>
            <w:szCs w:val="20"/>
          </w:rPr>
          <w:instrText xml:space="preserve"> NUMPAGES   \* MERGEFORMAT </w:instrText>
        </w:r>
        <w:r w:rsidRPr="0053602F">
          <w:rPr>
            <w:rFonts w:cs="Arial"/>
            <w:szCs w:val="20"/>
          </w:rPr>
          <w:fldChar w:fldCharType="separate"/>
        </w:r>
        <w:r w:rsidR="000F10AA">
          <w:rPr>
            <w:rFonts w:cs="Arial"/>
            <w:noProof/>
            <w:szCs w:val="20"/>
          </w:rPr>
          <w:t>1</w:t>
        </w:r>
        <w:r w:rsidRPr="0053602F">
          <w:rPr>
            <w:rFonts w:cs="Arial"/>
            <w:noProof/>
            <w:szCs w:val="20"/>
          </w:rPr>
          <w:fldChar w:fldCharType="end"/>
        </w:r>
      </w:p>
      <w:p w:rsidR="00EE46B0" w:rsidRPr="0053602F" w:rsidRDefault="00685121" w:rsidP="00EE46B0">
        <w:pPr>
          <w:pStyle w:val="Footer"/>
          <w:rPr>
            <w:rFonts w:asciiTheme="minorHAnsi" w:hAnsiTheme="minorHAns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91F" w:rsidRDefault="004C491F">
      <w:pPr>
        <w:spacing w:after="0" w:line="240" w:lineRule="auto"/>
      </w:pPr>
      <w:r>
        <w:separator/>
      </w:r>
    </w:p>
  </w:footnote>
  <w:footnote w:type="continuationSeparator" w:id="0">
    <w:p w:rsidR="004C491F" w:rsidRDefault="004C4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155" w:rsidRDefault="009231E7">
    <w:pPr>
      <w:pStyle w:val="Header"/>
    </w:pPr>
    <w:r>
      <w:rPr>
        <w:b/>
        <w:noProof/>
        <w:szCs w:val="20"/>
      </w:rPr>
      <w:drawing>
        <wp:inline distT="0" distB="0" distL="0" distR="0" wp14:anchorId="1F692098" wp14:editId="1F1423B0">
          <wp:extent cx="1714500" cy="390525"/>
          <wp:effectExtent l="0" t="0" r="0" b="9525"/>
          <wp:docPr id="11" name="Picture 11" descr="Renishaw logo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nishaw logo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="1" w:tblpY="1135"/>
      <w:tblOverlap w:val="never"/>
      <w:tblW w:w="967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83"/>
      <w:gridCol w:w="5896"/>
    </w:tblGrid>
    <w:tr w:rsidR="00996878" w:rsidRPr="00F92ED5" w:rsidTr="006C2DE6">
      <w:trPr>
        <w:trHeight w:val="616"/>
      </w:trPr>
      <w:tc>
        <w:tcPr>
          <w:tcW w:w="3783" w:type="dxa"/>
        </w:tcPr>
        <w:p w:rsidR="00996878" w:rsidRPr="00F92ED5" w:rsidRDefault="00D7261E" w:rsidP="00FE684E">
          <w:pPr>
            <w:tabs>
              <w:tab w:val="center" w:pos="4513"/>
              <w:tab w:val="right" w:pos="9026"/>
            </w:tabs>
            <w:spacing w:after="0" w:line="240" w:lineRule="auto"/>
            <w:rPr>
              <w:rFonts w:cs="Arial"/>
              <w:b/>
              <w:noProof/>
              <w:szCs w:val="20"/>
            </w:rPr>
          </w:pPr>
          <w:bookmarkStart w:id="1" w:name="Logo" w:colFirst="1" w:colLast="1"/>
          <w:r>
            <w:rPr>
              <w:rFonts w:cs="Arial"/>
              <w:b/>
              <w:szCs w:val="20"/>
            </w:rPr>
            <w:t xml:space="preserve">Nota de </w:t>
          </w:r>
          <w:proofErr w:type="spellStart"/>
          <w:r>
            <w:rPr>
              <w:rFonts w:cs="Arial"/>
              <w:b/>
              <w:szCs w:val="20"/>
            </w:rPr>
            <w:t>prensa</w:t>
          </w:r>
          <w:proofErr w:type="spellEnd"/>
        </w:p>
      </w:tc>
      <w:tc>
        <w:tcPr>
          <w:tcW w:w="5896" w:type="dxa"/>
        </w:tcPr>
        <w:p w:rsidR="00996878" w:rsidRPr="00F92ED5" w:rsidRDefault="00996878" w:rsidP="00FE684E">
          <w:pP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rFonts w:cs="Arial"/>
              <w:b/>
              <w:szCs w:val="20"/>
            </w:rPr>
          </w:pPr>
          <w:r>
            <w:rPr>
              <w:rFonts w:cs="Arial"/>
              <w:b/>
              <w:noProof/>
              <w:szCs w:val="20"/>
            </w:rPr>
            <w:drawing>
              <wp:inline distT="0" distB="0" distL="0" distR="0" wp14:anchorId="0482C13A" wp14:editId="273B8957">
                <wp:extent cx="1720800" cy="388800"/>
                <wp:effectExtent l="0" t="0" r="0" b="0"/>
                <wp:docPr id="12" name="Picture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00" cy="38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816032" w:rsidRDefault="00816032" w:rsidP="00816032">
    <w:pPr>
      <w:pStyle w:val="Header"/>
      <w:rPr>
        <w:rFonts w:cs="Arial"/>
        <w:b/>
        <w:bCs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TTCTemplate" w:val="TTC"/>
    <w:docVar w:name="dvTTCTemplateType" w:val="BlankWithLogo"/>
  </w:docVars>
  <w:rsids>
    <w:rsidRoot w:val="00D7261E"/>
    <w:rsid w:val="00032172"/>
    <w:rsid w:val="000C61CA"/>
    <w:rsid w:val="000F10AA"/>
    <w:rsid w:val="00166A88"/>
    <w:rsid w:val="001761C6"/>
    <w:rsid w:val="00203C4A"/>
    <w:rsid w:val="00244D97"/>
    <w:rsid w:val="0028456B"/>
    <w:rsid w:val="002E2C16"/>
    <w:rsid w:val="003A10EF"/>
    <w:rsid w:val="003E7668"/>
    <w:rsid w:val="0040402A"/>
    <w:rsid w:val="00451CA1"/>
    <w:rsid w:val="004C491F"/>
    <w:rsid w:val="00685121"/>
    <w:rsid w:val="006B426D"/>
    <w:rsid w:val="006C2DE6"/>
    <w:rsid w:val="006C3966"/>
    <w:rsid w:val="006D11D8"/>
    <w:rsid w:val="006F3574"/>
    <w:rsid w:val="00744BE6"/>
    <w:rsid w:val="007720E9"/>
    <w:rsid w:val="007E1D15"/>
    <w:rsid w:val="007E502B"/>
    <w:rsid w:val="00816032"/>
    <w:rsid w:val="0082508C"/>
    <w:rsid w:val="0089277E"/>
    <w:rsid w:val="00893490"/>
    <w:rsid w:val="008C3D87"/>
    <w:rsid w:val="0091732E"/>
    <w:rsid w:val="009231E7"/>
    <w:rsid w:val="00970655"/>
    <w:rsid w:val="00983D23"/>
    <w:rsid w:val="00996878"/>
    <w:rsid w:val="00AD4B5E"/>
    <w:rsid w:val="00B51610"/>
    <w:rsid w:val="00BB28AF"/>
    <w:rsid w:val="00CB0F49"/>
    <w:rsid w:val="00D7261E"/>
    <w:rsid w:val="00D96F7A"/>
    <w:rsid w:val="00DE7C0E"/>
    <w:rsid w:val="00E15EDC"/>
    <w:rsid w:val="00E70BF2"/>
    <w:rsid w:val="00EA5BC9"/>
    <w:rsid w:val="00F5716C"/>
    <w:rsid w:val="00FE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2E25085-494C-4787-85CD-5464F4BE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7668"/>
    <w:pPr>
      <w:spacing w:line="259" w:lineRule="auto"/>
    </w:pPr>
    <w:rPr>
      <w:rFonts w:ascii="Arial" w:eastAsiaTheme="minorEastAsia" w:hAnsi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7668"/>
    <w:pPr>
      <w:keepNext/>
      <w:keepLines/>
      <w:spacing w:before="240" w:after="0"/>
      <w:outlineLvl w:val="0"/>
    </w:pPr>
    <w:rPr>
      <w:rFonts w:eastAsiaTheme="majorEastAsia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7668"/>
    <w:pPr>
      <w:keepNext/>
      <w:keepLines/>
      <w:spacing w:before="40" w:after="0"/>
      <w:outlineLvl w:val="1"/>
    </w:pPr>
    <w:rPr>
      <w:rFonts w:eastAsiaTheme="majorEastAsia" w:cstheme="majorBidi"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7668"/>
    <w:pPr>
      <w:keepNext/>
      <w:keepLines/>
      <w:spacing w:before="40" w:after="0"/>
      <w:outlineLvl w:val="2"/>
    </w:pPr>
    <w:rPr>
      <w:rFonts w:eastAsiaTheme="majorEastAsia" w:cstheme="majorBidi"/>
      <w:bCs/>
      <w:color w:val="404040" w:themeColor="text1" w:themeTint="B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7668"/>
    <w:pPr>
      <w:keepNext/>
      <w:keepLines/>
      <w:spacing w:before="40" w:after="0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E7668"/>
    <w:pPr>
      <w:keepNext/>
      <w:keepLines/>
      <w:spacing w:before="40" w:after="100" w:afterAutospacing="1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E7668"/>
    <w:pPr>
      <w:keepNext/>
      <w:keepLines/>
      <w:spacing w:before="40" w:after="0"/>
      <w:outlineLvl w:val="5"/>
    </w:pPr>
    <w:rPr>
      <w:rFonts w:eastAsiaTheme="majorEastAsia" w:cstheme="majorBidi"/>
      <w:iCs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E7668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E7668"/>
    <w:pPr>
      <w:keepNext/>
      <w:keepLines/>
      <w:spacing w:before="40" w:after="0"/>
      <w:outlineLvl w:val="7"/>
    </w:pPr>
    <w:rPr>
      <w:rFonts w:eastAsiaTheme="majorEastAsia" w:cstheme="majorBidi"/>
      <w:color w:val="595959" w:themeColor="text1" w:themeTint="A6"/>
      <w:sz w:val="21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E7668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595959" w:themeColor="text1" w:themeTint="A6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E76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7668"/>
    <w:rPr>
      <w:rFonts w:ascii="Arial" w:eastAsiaTheme="minorEastAsia" w:hAnsi="Arial"/>
      <w:lang w:eastAsia="en-GB"/>
    </w:rPr>
  </w:style>
  <w:style w:type="paragraph" w:styleId="Footer">
    <w:name w:val="footer"/>
    <w:basedOn w:val="Normal"/>
    <w:link w:val="FooterChar"/>
    <w:uiPriority w:val="99"/>
    <w:semiHidden/>
    <w:rsid w:val="003E76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7668"/>
    <w:rPr>
      <w:rFonts w:ascii="Arial" w:eastAsiaTheme="minorEastAsia" w:hAnsi="Arial"/>
      <w:lang w:eastAsia="en-GB"/>
    </w:rPr>
  </w:style>
  <w:style w:type="table" w:styleId="TableGrid">
    <w:name w:val="Table Grid"/>
    <w:basedOn w:val="TableNormal"/>
    <w:uiPriority w:val="59"/>
    <w:semiHidden/>
    <w:rsid w:val="003E7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7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68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7668"/>
    <w:rPr>
      <w:rFonts w:ascii="Arial" w:eastAsiaTheme="majorEastAsia" w:hAnsi="Arial" w:cstheme="majorBidi"/>
      <w:bCs/>
      <w:sz w:val="32"/>
      <w:szCs w:val="28"/>
      <w:lang w:eastAsia="en-GB"/>
    </w:rPr>
  </w:style>
  <w:style w:type="paragraph" w:customStyle="1" w:styleId="BodyTextCopy">
    <w:name w:val="Body Text Copy"/>
    <w:qFormat/>
    <w:rsid w:val="003E7668"/>
    <w:pPr>
      <w:spacing w:after="120" w:line="280" w:lineRule="exact"/>
    </w:pPr>
    <w:rPr>
      <w:rFonts w:ascii="Arial" w:eastAsiaTheme="majorEastAsia" w:hAnsi="Arial" w:cstheme="majorBidi"/>
      <w:bCs/>
      <w:sz w:val="20"/>
      <w:szCs w:val="28"/>
    </w:rPr>
  </w:style>
  <w:style w:type="paragraph" w:customStyle="1" w:styleId="DocumentTableHeading">
    <w:name w:val="Document Table Heading"/>
    <w:rsid w:val="003E7668"/>
    <w:pPr>
      <w:spacing w:after="60" w:line="240" w:lineRule="auto"/>
    </w:pPr>
    <w:rPr>
      <w:rFonts w:ascii="Arial" w:eastAsiaTheme="majorEastAsia" w:hAnsi="Arial" w:cstheme="majorBidi"/>
      <w:b/>
      <w:sz w:val="20"/>
      <w:szCs w:val="28"/>
    </w:rPr>
  </w:style>
  <w:style w:type="paragraph" w:customStyle="1" w:styleId="DocumentTableText">
    <w:name w:val="Document Table Text"/>
    <w:rsid w:val="003E7668"/>
    <w:pPr>
      <w:spacing w:after="60" w:line="240" w:lineRule="auto"/>
    </w:pPr>
    <w:rPr>
      <w:rFonts w:ascii="Arial" w:eastAsiaTheme="majorEastAsia" w:hAnsi="Arial" w:cstheme="majorBidi"/>
      <w:bCs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E7668"/>
    <w:rPr>
      <w:rFonts w:ascii="Arial" w:eastAsiaTheme="majorEastAsia" w:hAnsi="Arial" w:cstheme="majorBidi"/>
      <w:bCs/>
      <w:sz w:val="26"/>
      <w:szCs w:val="26"/>
      <w:lang w:eastAsia="en-GB"/>
    </w:rPr>
  </w:style>
  <w:style w:type="table" w:customStyle="1" w:styleId="OrangeRenishaw">
    <w:name w:val="Orange (Renishaw)"/>
    <w:basedOn w:val="TableNormal"/>
    <w:uiPriority w:val="99"/>
    <w:unhideWhenUsed/>
    <w:rsid w:val="003E7668"/>
    <w:pPr>
      <w:spacing w:after="0" w:line="240" w:lineRule="auto"/>
    </w:pPr>
    <w:rPr>
      <w:rFonts w:ascii="Arial" w:eastAsiaTheme="minorEastAsia" w:hAnsi="Arial"/>
      <w:sz w:val="20"/>
      <w:lang w:eastAsia="en-GB"/>
    </w:rPr>
    <w:tblPr>
      <w:tblStyleRowBandSize w:val="1"/>
      <w:tblStyleColBandSize w:val="1"/>
      <w:tblBorders>
        <w:top w:val="single" w:sz="4" w:space="0" w:color="FF9933"/>
        <w:left w:val="single" w:sz="4" w:space="0" w:color="FF9933"/>
        <w:bottom w:val="single" w:sz="4" w:space="0" w:color="FF9933"/>
        <w:right w:val="single" w:sz="4" w:space="0" w:color="FF9933"/>
        <w:insideH w:val="single" w:sz="4" w:space="0" w:color="FF9933"/>
        <w:insideV w:val="single" w:sz="4" w:space="0" w:color="FF9933"/>
      </w:tblBorders>
      <w:tblCellMar>
        <w:left w:w="0" w:type="dxa"/>
        <w:right w:w="0" w:type="dxa"/>
      </w:tblCellMar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F9933"/>
      </w:tcPr>
    </w:tblStylePr>
    <w:tblStylePr w:type="la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F9933"/>
      </w:tcPr>
    </w:tblStylePr>
    <w:tblStylePr w:type="firstCol">
      <w:rPr>
        <w:rFonts w:ascii="Arial" w:hAnsi="Arial"/>
        <w:b/>
        <w:bCs/>
        <w:color w:val="FFFFFF" w:themeColor="background1"/>
        <w:sz w:val="22"/>
      </w:rPr>
    </w:tblStylePr>
    <w:tblStylePr w:type="lastCol">
      <w:rPr>
        <w:b/>
        <w:bCs/>
        <w:color w:val="FFFFFF" w:themeColor="background1"/>
      </w:rPr>
      <w:tblPr/>
      <w:tcPr>
        <w:shd w:val="clear" w:color="auto" w:fill="FF9933"/>
      </w:tcPr>
    </w:tblStylePr>
    <w:tblStylePr w:type="band2Vert">
      <w:tblPr/>
      <w:tcPr>
        <w:shd w:val="clear" w:color="auto" w:fill="FFE5CC"/>
      </w:tcPr>
    </w:tblStylePr>
    <w:tblStylePr w:type="band2Horz">
      <w:tblPr/>
      <w:tcPr>
        <w:shd w:val="clear" w:color="auto" w:fill="FFE5CC"/>
      </w:tcPr>
    </w:tblStylePr>
  </w:style>
  <w:style w:type="paragraph" w:customStyle="1" w:styleId="TableText">
    <w:name w:val="Table Text"/>
    <w:basedOn w:val="Normal"/>
    <w:qFormat/>
    <w:rsid w:val="003E7668"/>
    <w:rPr>
      <w:rFonts w:eastAsiaTheme="minorHAnsi"/>
      <w:sz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3E7668"/>
    <w:rPr>
      <w:color w:val="808080"/>
    </w:rPr>
  </w:style>
  <w:style w:type="table" w:customStyle="1" w:styleId="GreyRenishaw">
    <w:name w:val="Grey (Renishaw)"/>
    <w:basedOn w:val="TableNormal"/>
    <w:uiPriority w:val="99"/>
    <w:unhideWhenUsed/>
    <w:rsid w:val="003E7668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0" w:type="dxa"/>
        <w:right w:w="0" w:type="dxa"/>
      </w:tblCellMar>
    </w:tblPr>
    <w:tcPr>
      <w:shd w:val="clear" w:color="auto" w:fill="FFFFFF" w:themeFill="background1"/>
    </w:tcPr>
    <w:tblStylePr w:type="firstRow">
      <w:rPr>
        <w:rFonts w:ascii="Arial" w:hAnsi="Arial"/>
        <w:b/>
      </w:rPr>
      <w:tblPr/>
      <w:tcPr>
        <w:shd w:val="clear" w:color="auto" w:fill="C0C0C0"/>
      </w:tcPr>
    </w:tblStylePr>
    <w:tblStylePr w:type="lastRow">
      <w:rPr>
        <w:b/>
      </w:rPr>
      <w:tblPr/>
      <w:tcPr>
        <w:shd w:val="clear" w:color="auto" w:fill="C0C0C0"/>
      </w:tcPr>
    </w:tblStylePr>
    <w:tblStylePr w:type="lastCol">
      <w:rPr>
        <w:b/>
      </w:rPr>
      <w:tblPr/>
      <w:tcPr>
        <w:shd w:val="clear" w:color="auto" w:fill="BFBFBF" w:themeFill="background1" w:themeFillShade="BF"/>
      </w:tcPr>
    </w:tblStylePr>
    <w:tblStylePr w:type="band2Vert">
      <w:tblPr/>
      <w:tcPr>
        <w:shd w:val="clear" w:color="auto" w:fill="E5E5E5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E5E5E5"/>
      </w:tcPr>
    </w:tblStylePr>
  </w:style>
  <w:style w:type="paragraph" w:customStyle="1" w:styleId="TableTextRight">
    <w:name w:val="Table Text Right"/>
    <w:basedOn w:val="TableText"/>
    <w:qFormat/>
    <w:rsid w:val="003E7668"/>
    <w:pPr>
      <w:jc w:val="right"/>
    </w:pPr>
  </w:style>
  <w:style w:type="paragraph" w:customStyle="1" w:styleId="TableTextDecimal">
    <w:name w:val="Table Text Decimal"/>
    <w:basedOn w:val="TableText"/>
    <w:qFormat/>
    <w:rsid w:val="003E7668"/>
    <w:pPr>
      <w:tabs>
        <w:tab w:val="left" w:pos="567"/>
      </w:tabs>
    </w:pPr>
  </w:style>
  <w:style w:type="table" w:styleId="ColorfulGrid">
    <w:name w:val="Colorful Grid"/>
    <w:basedOn w:val="Table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3E7668"/>
    <w:rPr>
      <w:rFonts w:ascii="Arial" w:hAnsi="Arial"/>
      <w:i/>
      <w:iCs/>
      <w:sz w:val="22"/>
    </w:rPr>
  </w:style>
  <w:style w:type="character" w:styleId="IntenseEmphasis">
    <w:name w:val="Intense Emphasis"/>
    <w:basedOn w:val="DefaultParagraphFont"/>
    <w:uiPriority w:val="21"/>
    <w:qFormat/>
    <w:rsid w:val="003E7668"/>
    <w:rPr>
      <w:rFonts w:ascii="Arial" w:hAnsi="Arial"/>
      <w:b/>
      <w:bCs/>
      <w:i/>
      <w:iCs/>
      <w:color w:val="auto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668"/>
    <w:pPr>
      <w:pBdr>
        <w:top w:val="single" w:sz="4" w:space="1" w:color="auto"/>
        <w:bottom w:val="single" w:sz="4" w:space="4" w:color="auto"/>
      </w:pBdr>
      <w:spacing w:before="360" w:after="280"/>
      <w:ind w:left="862" w:right="862"/>
      <w:jc w:val="center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668"/>
    <w:rPr>
      <w:rFonts w:ascii="Arial" w:eastAsiaTheme="minorEastAsia" w:hAnsi="Arial"/>
      <w:b/>
      <w:bCs/>
      <w:i/>
      <w:iCs/>
      <w:lang w:eastAsia="en-GB"/>
    </w:rPr>
  </w:style>
  <w:style w:type="character" w:styleId="IntenseReference">
    <w:name w:val="Intense Reference"/>
    <w:basedOn w:val="DefaultParagraphFont"/>
    <w:uiPriority w:val="32"/>
    <w:qFormat/>
    <w:rsid w:val="003E7668"/>
    <w:rPr>
      <w:rFonts w:ascii="Arial" w:hAnsi="Arial"/>
      <w:b/>
      <w:bCs/>
      <w:smallCaps/>
      <w:color w:val="auto"/>
      <w:spacing w:val="5"/>
      <w:sz w:val="22"/>
      <w:u w:val="none"/>
    </w:rPr>
  </w:style>
  <w:style w:type="character" w:styleId="BookTitle">
    <w:name w:val="Book Title"/>
    <w:basedOn w:val="DefaultParagraphFont"/>
    <w:uiPriority w:val="33"/>
    <w:qFormat/>
    <w:rsid w:val="003E7668"/>
    <w:rPr>
      <w:rFonts w:ascii="Arial" w:hAnsi="Arial"/>
      <w:b/>
      <w:bCs/>
      <w:i/>
      <w:smallCaps/>
      <w:color w:val="auto"/>
      <w:spacing w:val="5"/>
      <w:sz w:val="22"/>
      <w:u w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E7668"/>
    <w:rPr>
      <w:rFonts w:ascii="Arial" w:eastAsiaTheme="majorEastAsia" w:hAnsi="Arial" w:cstheme="majorBidi"/>
      <w:bCs/>
      <w:color w:val="404040" w:themeColor="text1" w:themeTint="BF"/>
      <w:sz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3E7668"/>
    <w:rPr>
      <w:rFonts w:ascii="Arial" w:eastAsiaTheme="majorEastAsia" w:hAnsi="Arial" w:cstheme="majorBidi"/>
      <w:bCs/>
      <w:i/>
      <w:iCs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3E7668"/>
    <w:rPr>
      <w:rFonts w:ascii="Arial" w:eastAsiaTheme="majorEastAsia" w:hAnsi="Arial" w:cstheme="majorBidi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3E7668"/>
    <w:rPr>
      <w:rFonts w:ascii="Arial" w:eastAsiaTheme="majorEastAsia" w:hAnsi="Arial" w:cstheme="majorBidi"/>
      <w:iCs/>
      <w:color w:val="404040" w:themeColor="text1" w:themeTint="BF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3E7668"/>
    <w:rPr>
      <w:rFonts w:ascii="Arial" w:eastAsiaTheme="majorEastAsia" w:hAnsi="Arial" w:cstheme="majorBidi"/>
      <w:i/>
      <w:iCs/>
      <w:color w:val="404040" w:themeColor="text1" w:themeTint="BF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3E7668"/>
    <w:rPr>
      <w:rFonts w:ascii="Arial" w:eastAsiaTheme="majorEastAsia" w:hAnsi="Arial" w:cstheme="majorBidi"/>
      <w:color w:val="595959" w:themeColor="text1" w:themeTint="A6"/>
      <w:sz w:val="21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3E7668"/>
    <w:rPr>
      <w:rFonts w:ascii="Arial" w:eastAsiaTheme="majorEastAsia" w:hAnsi="Arial" w:cstheme="majorBidi"/>
      <w:i/>
      <w:iCs/>
      <w:color w:val="595959" w:themeColor="text1" w:themeTint="A6"/>
      <w:sz w:val="21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E7668"/>
    <w:pPr>
      <w:ind w:left="720"/>
      <w:contextualSpacing/>
    </w:pPr>
  </w:style>
  <w:style w:type="paragraph" w:styleId="NoSpacing">
    <w:name w:val="No Spacing"/>
    <w:uiPriority w:val="1"/>
    <w:qFormat/>
    <w:rsid w:val="003E7668"/>
    <w:pPr>
      <w:spacing w:after="0" w:line="240" w:lineRule="auto"/>
    </w:pPr>
    <w:rPr>
      <w:rFonts w:ascii="Arial" w:eastAsiaTheme="minorEastAsia" w:hAnsi="Arial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3E7668"/>
    <w:pPr>
      <w:spacing w:before="200" w:line="240" w:lineRule="auto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668"/>
    <w:rPr>
      <w:rFonts w:ascii="Arial" w:eastAsiaTheme="minorEastAsia" w:hAnsi="Arial"/>
      <w:i/>
      <w:iCs/>
      <w:color w:val="404040" w:themeColor="text1" w:themeTint="BF"/>
      <w:lang w:eastAsia="en-GB"/>
    </w:rPr>
  </w:style>
  <w:style w:type="character" w:styleId="Strong">
    <w:name w:val="Strong"/>
    <w:basedOn w:val="DefaultParagraphFont"/>
    <w:uiPriority w:val="22"/>
    <w:qFormat/>
    <w:rsid w:val="003E7668"/>
    <w:rPr>
      <w:rFonts w:ascii="Arial" w:hAnsi="Arial"/>
      <w:b/>
      <w:bCs/>
      <w:color w:val="auto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668"/>
    <w:pPr>
      <w:numPr>
        <w:ilvl w:val="1"/>
      </w:numPr>
    </w:pPr>
    <w:rPr>
      <w:rFonts w:eastAsiaTheme="majorEastAsia" w:cstheme="majorBidi"/>
      <w:iCs/>
      <w:color w:val="595959" w:themeColor="text1" w:themeTint="A6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E7668"/>
    <w:rPr>
      <w:rFonts w:ascii="Arial" w:eastAsiaTheme="majorEastAsia" w:hAnsi="Arial" w:cstheme="majorBidi"/>
      <w:iCs/>
      <w:color w:val="595959" w:themeColor="text1" w:themeTint="A6"/>
      <w:spacing w:val="15"/>
      <w:szCs w:val="24"/>
      <w:lang w:eastAsia="en-GB"/>
    </w:rPr>
  </w:style>
  <w:style w:type="character" w:styleId="SubtleEmphasis">
    <w:name w:val="Subtle Emphasis"/>
    <w:basedOn w:val="DefaultParagraphFont"/>
    <w:uiPriority w:val="19"/>
    <w:qFormat/>
    <w:rsid w:val="003E7668"/>
    <w:rPr>
      <w:rFonts w:ascii="Arial" w:hAnsi="Arial"/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qFormat/>
    <w:rsid w:val="003E7668"/>
    <w:rPr>
      <w:rFonts w:ascii="Arial" w:hAnsi="Arial"/>
      <w:b w:val="0"/>
      <w:caps w:val="0"/>
      <w:smallCaps/>
      <w:vanish w:val="0"/>
      <w:color w:val="595959" w:themeColor="text1" w:themeTint="A6"/>
      <w:sz w:val="22"/>
      <w:u w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E766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7668"/>
    <w:rPr>
      <w:rFonts w:ascii="Arial" w:eastAsiaTheme="majorEastAsia" w:hAnsi="Arial" w:cstheme="majorBidi"/>
      <w:spacing w:val="-10"/>
      <w:kern w:val="28"/>
      <w:sz w:val="56"/>
      <w:szCs w:val="52"/>
      <w:lang w:eastAsia="en-GB"/>
    </w:rPr>
  </w:style>
  <w:style w:type="table" w:styleId="ColorfulGrid-Accent2">
    <w:name w:val="Colorful Grid Accent 2"/>
    <w:basedOn w:val="Table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LightGrid">
    <w:name w:val="Light Grid"/>
    <w:basedOn w:val="Table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3E766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3E766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3E766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3E766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3E766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3E766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3E766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rsid w:val="003E7668"/>
    <w:pPr>
      <w:spacing w:line="259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3E7668"/>
    <w:pPr>
      <w:spacing w:line="259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3E7668"/>
    <w:pPr>
      <w:spacing w:line="259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3E7668"/>
    <w:pPr>
      <w:spacing w:line="259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3E7668"/>
    <w:pPr>
      <w:spacing w:line="259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3E7668"/>
    <w:pPr>
      <w:spacing w:line="259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3E7668"/>
    <w:pPr>
      <w:spacing w:line="259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3E7668"/>
    <w:pPr>
      <w:spacing w:line="259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3E7668"/>
    <w:pPr>
      <w:spacing w:line="259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3E7668"/>
    <w:pPr>
      <w:spacing w:line="259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3E7668"/>
    <w:pPr>
      <w:spacing w:line="259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3E7668"/>
    <w:pPr>
      <w:spacing w:line="259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3E7668"/>
    <w:pPr>
      <w:spacing w:line="259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3E7668"/>
    <w:pPr>
      <w:spacing w:line="259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3E7668"/>
    <w:pPr>
      <w:spacing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3E7668"/>
    <w:pPr>
      <w:spacing w:line="259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3E7668"/>
    <w:pPr>
      <w:spacing w:line="259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3E7668"/>
    <w:pPr>
      <w:spacing w:line="259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3E7668"/>
    <w:pPr>
      <w:spacing w:line="259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3E7668"/>
    <w:pPr>
      <w:spacing w:line="259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3E7668"/>
    <w:pPr>
      <w:spacing w:line="259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3E7668"/>
    <w:pPr>
      <w:spacing w:line="259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3E7668"/>
    <w:pPr>
      <w:spacing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3E7668"/>
    <w:pPr>
      <w:spacing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3E7668"/>
    <w:pPr>
      <w:spacing w:line="259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3E7668"/>
    <w:pPr>
      <w:spacing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rsid w:val="003E7668"/>
    <w:pPr>
      <w:spacing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3E7668"/>
    <w:pPr>
      <w:spacing w:line="259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3E7668"/>
    <w:pPr>
      <w:spacing w:line="259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3E7668"/>
    <w:pPr>
      <w:spacing w:line="259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3E7668"/>
    <w:pPr>
      <w:spacing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3E7668"/>
    <w:pPr>
      <w:spacing w:line="259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3E7668"/>
    <w:pPr>
      <w:spacing w:line="259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3E7668"/>
    <w:pPr>
      <w:spacing w:line="259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rsid w:val="00983D23"/>
    <w:rPr>
      <w:b/>
    </w:rPr>
  </w:style>
  <w:style w:type="table" w:customStyle="1" w:styleId="Grey-Alternaterowsfilled">
    <w:name w:val="Grey - Alternate rows filled"/>
    <w:basedOn w:val="TableNormal"/>
    <w:uiPriority w:val="99"/>
    <w:semiHidden/>
    <w:rsid w:val="003E7668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Arial" w:hAnsi="Arial"/>
        <w:b/>
      </w:rPr>
      <w:tblPr/>
      <w:tcPr>
        <w:shd w:val="clear" w:color="auto" w:fill="C0C0C0"/>
      </w:tcPr>
    </w:tblStylePr>
    <w:tblStylePr w:type="lastRow">
      <w:tblPr/>
      <w:tcPr>
        <w:shd w:val="clear" w:color="auto" w:fill="C0C0C0"/>
      </w:tcPr>
    </w:tblStylePr>
    <w:tblStylePr w:type="band2Vert">
      <w:tblPr/>
      <w:tcPr>
        <w:shd w:val="clear" w:color="auto" w:fill="E5E5E5"/>
      </w:tcPr>
    </w:tblStylePr>
    <w:tblStylePr w:type="band2Horz">
      <w:tblPr/>
      <w:tcPr>
        <w:shd w:val="clear" w:color="auto" w:fill="E5E5E5"/>
      </w:tcPr>
    </w:tblStylePr>
  </w:style>
  <w:style w:type="table" w:customStyle="1" w:styleId="Grey-Standard">
    <w:name w:val="Grey - Standard"/>
    <w:basedOn w:val="TableNormal"/>
    <w:uiPriority w:val="99"/>
    <w:semiHidden/>
    <w:rsid w:val="003E7668"/>
    <w:pPr>
      <w:spacing w:after="0" w:line="240" w:lineRule="auto"/>
    </w:pPr>
    <w:rPr>
      <w:rFonts w:ascii="Arial" w:eastAsiaTheme="minorEastAsia" w:hAnsi="Arial"/>
      <w:sz w:val="20"/>
      <w:lang w:eastAsia="en-GB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wordWrap/>
      </w:pPr>
      <w:rPr>
        <w:rFonts w:ascii="Helvetica" w:hAnsi="Helvetica"/>
        <w:b w:val="0"/>
        <w:sz w:val="18"/>
      </w:rPr>
      <w:tblPr/>
      <w:tcPr>
        <w:shd w:val="clear" w:color="auto" w:fill="BFBFBF" w:themeFill="background1" w:themeFillShade="BF"/>
      </w:tcPr>
    </w:tblStylePr>
    <w:tblStylePr w:type="lastRow">
      <w:tblPr/>
      <w:tcPr>
        <w:shd w:val="clear" w:color="auto" w:fill="BFBFBF"/>
      </w:tcPr>
    </w:tblStylePr>
  </w:style>
  <w:style w:type="paragraph" w:customStyle="1" w:styleId="TableTextHeading">
    <w:name w:val="Table Text Heading"/>
    <w:basedOn w:val="TableText"/>
    <w:qFormat/>
    <w:rsid w:val="003E7668"/>
    <w:rPr>
      <w:b/>
    </w:rPr>
  </w:style>
  <w:style w:type="character" w:styleId="Hyperlink">
    <w:name w:val="Hyperlink"/>
    <w:basedOn w:val="DefaultParagraphFont"/>
    <w:uiPriority w:val="99"/>
    <w:unhideWhenUsed/>
    <w:rsid w:val="00CB0F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nishaw.es/es/aplicaciones-para-maquina-herramienta--4237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enishaw.com\global\common\templates\Document%20with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Orange">
      <a:srgbClr val="FF9933"/>
    </a:custClr>
    <a:custClr name="Blue">
      <a:srgbClr val="6464FF"/>
    </a:custClr>
    <a:custClr name="Purple">
      <a:srgbClr val="BC01FF"/>
    </a:custClr>
    <a:custClr name="Green">
      <a:srgbClr val="000000"/>
    </a:custClr>
    <a:custClr name="Red">
      <a:srgbClr val="FF0000"/>
    </a:custClr>
    <a:custClr name="Black">
      <a:srgbClr val="000000"/>
    </a:custClr>
    <a:custClr name="White">
      <a:srgbClr val="FFFFFF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 with Logo</Template>
  <TotalTime>0</TotalTime>
  <Pages>1</Pages>
  <Words>240</Words>
  <Characters>1369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Valdivieso</dc:creator>
  <cp:lastModifiedBy>Andrea Valdivieso</cp:lastModifiedBy>
  <cp:revision>2</cp:revision>
  <cp:lastPrinted>2016-02-24T11:00:00Z</cp:lastPrinted>
  <dcterms:created xsi:type="dcterms:W3CDTF">2019-02-06T13:00:00Z</dcterms:created>
  <dcterms:modified xsi:type="dcterms:W3CDTF">2019-02-06T13:00:00Z</dcterms:modified>
</cp:coreProperties>
</file>