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DD6F0"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FBF36C7" wp14:editId="05A53B1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EC023" w14:textId="77777777" w:rsidR="00C03584" w:rsidRPr="00C03584" w:rsidRDefault="00C03584" w:rsidP="00C03584">
      <w:pPr>
        <w:spacing w:after="160" w:line="256" w:lineRule="auto"/>
        <w:rPr>
          <w:rFonts w:ascii="Arial" w:eastAsia="Calibri" w:hAnsi="Arial" w:cs="Arial"/>
          <w:b/>
          <w:sz w:val="22"/>
          <w:szCs w:val="22"/>
          <w:lang w:val="fr-FR" w:eastAsia="en-US"/>
        </w:rPr>
      </w:pPr>
      <w:r w:rsidRPr="00C03584">
        <w:rPr>
          <w:rFonts w:ascii="Arial" w:eastAsia="Calibri" w:hAnsi="Arial"/>
          <w:b/>
          <w:sz w:val="22"/>
          <w:lang w:val="fr-FR" w:eastAsia="en-US"/>
        </w:rPr>
        <w:t xml:space="preserve">La nouvelle génération de systèmes de palpage par transmission radio de Renishaw promet un avenir riche en données et une augmentation de l’autonomie jusqu'à 400 % </w:t>
      </w:r>
    </w:p>
    <w:p w14:paraId="126DD39D" w14:textId="77777777"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Renishaw, la multinationale de technologies industrielles, va lancer son nouveau système de palpage par transmission radio pour machines-outils lors du salon EMO de Milan 2021. Le système de nouvelle génération sera l'une des nombreuses solutions de contrôle de procédé d'usinage intelligent présentées par Renishaw, solutions qui ont fait leurs preuves en permettant à des ateliers d’usinage de nombreux secteurs industriels de transformer leurs capacités de production.</w:t>
      </w:r>
    </w:p>
    <w:p w14:paraId="1A5BD9CC" w14:textId="77777777"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Le nouveau système comprend une interface radio ultra-compacte RMI-QE dotée d’un protocole de communication mis à jour, ainsi que des mises à jour majeures de la gamme complète de palpeurs par transmission radio leader du marché. Les nouvelles améliorations optimisent de manière significative l’autonomie, simplifient la configuration et suppriment les diagnostics à distance pour tous les palpeurs radio.</w:t>
      </w:r>
    </w:p>
    <w:p w14:paraId="50BF1D95" w14:textId="77777777" w:rsidR="00C03584" w:rsidRPr="00C03584" w:rsidRDefault="00C03584" w:rsidP="00C03584">
      <w:pPr>
        <w:spacing w:after="160" w:line="256" w:lineRule="auto"/>
        <w:rPr>
          <w:rFonts w:ascii="Arial" w:eastAsia="Calibri" w:hAnsi="Arial" w:cs="Arial"/>
          <w:lang w:val="fr-FR" w:eastAsia="en-US"/>
        </w:rPr>
      </w:pPr>
    </w:p>
    <w:p w14:paraId="4EDEB8FE" w14:textId="77777777" w:rsidR="00C03584" w:rsidRPr="00C03584" w:rsidRDefault="00C03584" w:rsidP="00C03584">
      <w:pPr>
        <w:spacing w:after="160" w:line="256" w:lineRule="auto"/>
        <w:rPr>
          <w:rFonts w:ascii="Arial" w:eastAsia="Calibri" w:hAnsi="Arial" w:cs="Arial"/>
          <w:b/>
          <w:bCs/>
          <w:sz w:val="22"/>
          <w:szCs w:val="22"/>
          <w:lang w:val="fr-FR" w:eastAsia="en-US"/>
        </w:rPr>
      </w:pPr>
      <w:r w:rsidRPr="00C03584">
        <w:rPr>
          <w:rFonts w:ascii="Arial" w:eastAsia="Calibri" w:hAnsi="Arial"/>
          <w:b/>
          <w:sz w:val="22"/>
          <w:szCs w:val="22"/>
          <w:lang w:val="fr-FR" w:eastAsia="en-US"/>
        </w:rPr>
        <w:t>Une interface connectée pour un avenir numérique</w:t>
      </w:r>
    </w:p>
    <w:p w14:paraId="516BB646" w14:textId="77777777"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Située à l'intérieur de l'environnement d'usinage, l'interface RMI-QE dispose d'un protocole de communication mis à jour et à l’épreuve du temps, afin d’être compatible avec des capteurs Renishaw et des appareils intelligents de dernière génération.</w:t>
      </w:r>
    </w:p>
    <w:p w14:paraId="2C3C78A4" w14:textId="77777777"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 xml:space="preserve">Robuste et fiable dans des environnements radio encombrés, le RMI-QE utilise une version mise à jour de la technologie Renishaw éprouvée de transmission radio par spectre étalé à sauts de fréquence hybride (FHSS) 2,4 Ghz et reste conforme aux réglementations radio dans le monde entier. Le système est approprié pour des applications qui ne peuvent pas garantir une ligne de visée entre le palpeur et le récepteur (notamment les machines 5 axes, multi-tâches et de fraisage-tournage). Il permet également d’utiliser jusqu'à quatre palpeurs de réglage d'outils ou palpeurs sur broche séparés sur la même machine à CN - parfait pour les centres d'usinage à tables rotatives ou doubles palettes. </w:t>
      </w:r>
    </w:p>
    <w:p w14:paraId="26ED03EC" w14:textId="77777777"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La conception ultra-compacte permet une multitude d’options de montage flexibles et une compatibilité ascendante complète est prévue pour simplifier la conversion depuis des interfaces RMI-Q héritées.</w:t>
      </w:r>
    </w:p>
    <w:p w14:paraId="6DBC2E21" w14:textId="77777777" w:rsidR="00C03584" w:rsidRPr="00C03584" w:rsidRDefault="00C03584" w:rsidP="00C03584">
      <w:pPr>
        <w:spacing w:after="160" w:line="256" w:lineRule="auto"/>
        <w:rPr>
          <w:rFonts w:ascii="Arial" w:eastAsia="Calibri" w:hAnsi="Arial" w:cs="Arial"/>
          <w:lang w:val="fr-FR" w:eastAsia="en-US"/>
        </w:rPr>
      </w:pPr>
    </w:p>
    <w:p w14:paraId="67428712" w14:textId="77777777" w:rsidR="00C03584" w:rsidRPr="00C03584" w:rsidRDefault="00C03584" w:rsidP="00C03584">
      <w:pPr>
        <w:spacing w:after="160" w:line="256" w:lineRule="auto"/>
        <w:rPr>
          <w:rFonts w:ascii="Arial" w:eastAsia="Calibri" w:hAnsi="Arial" w:cs="Arial"/>
          <w:b/>
          <w:bCs/>
          <w:sz w:val="22"/>
          <w:szCs w:val="22"/>
          <w:lang w:val="fr-FR" w:eastAsia="en-US"/>
        </w:rPr>
      </w:pPr>
      <w:r w:rsidRPr="00C03584">
        <w:rPr>
          <w:rFonts w:ascii="Arial" w:eastAsia="Calibri" w:hAnsi="Arial"/>
          <w:b/>
          <w:sz w:val="22"/>
          <w:szCs w:val="22"/>
          <w:lang w:val="fr-FR" w:eastAsia="en-US"/>
        </w:rPr>
        <w:t xml:space="preserve">Palpage convivial </w:t>
      </w:r>
    </w:p>
    <w:p w14:paraId="7E44AAB5" w14:textId="77777777" w:rsidR="00C03584" w:rsidRPr="00C03584" w:rsidRDefault="00C03584" w:rsidP="00C03584">
      <w:pPr>
        <w:spacing w:line="256" w:lineRule="auto"/>
        <w:rPr>
          <w:rFonts w:ascii="Arial" w:eastAsia="Calibri" w:hAnsi="Arial" w:cs="Arial"/>
          <w:lang w:val="fr-FR" w:eastAsia="en-US"/>
        </w:rPr>
      </w:pPr>
      <w:r w:rsidRPr="00C03584">
        <w:rPr>
          <w:rFonts w:ascii="Arial" w:eastAsia="Calibri" w:hAnsi="Arial"/>
          <w:szCs w:val="22"/>
          <w:lang w:val="fr-FR" w:eastAsia="en-US"/>
        </w:rPr>
        <w:t xml:space="preserve">Les utilisateurs ont toujours été en mesure de configurer manuellement les paramètres des palpeurs radio Renishaw en fonction des conditions de fonctionnement de leurs machines (particulièrement utile pour les applications à fortes vibrations et à grande vitesse). </w:t>
      </w:r>
      <w:bookmarkStart w:id="0" w:name="_Hlk69981663"/>
      <w:r w:rsidRPr="00C03584">
        <w:rPr>
          <w:rFonts w:ascii="Arial" w:eastAsia="Calibri" w:hAnsi="Arial"/>
          <w:szCs w:val="22"/>
          <w:lang w:val="fr-FR" w:eastAsia="en-US"/>
        </w:rPr>
        <w:t>Cependant, le procédé est maintenant beaucoup plus facile</w:t>
      </w:r>
      <w:bookmarkEnd w:id="0"/>
      <w:r w:rsidRPr="00C03584">
        <w:rPr>
          <w:rFonts w:ascii="Arial" w:eastAsia="Calibri" w:hAnsi="Arial"/>
          <w:szCs w:val="22"/>
          <w:lang w:val="fr-FR" w:eastAsia="en-US"/>
        </w:rPr>
        <w:t>. Une première dans l'industrie, la technique Opti-Logic™, accessible via la nouvelle application Paramètres Palpeur, permet de configurer les paramètres du palpeur à l'aide d'un smartphone. Les options sélectionnables affichées à l'écran du smartphone sont transférées vers le palpeur au moyen d’une communication bidirectionnelle. Non seulement cela simplifie considérablement le procédé de configuration, mais rend également possibles les diagnostics à distance grâce à des applications communes, notamment email, iMessage®, WhatsApp, LINE et WeChat.</w:t>
      </w:r>
    </w:p>
    <w:p w14:paraId="2B55D48C" w14:textId="77777777" w:rsidR="00C03584" w:rsidRPr="00C03584" w:rsidRDefault="00C03584" w:rsidP="00C03584">
      <w:pPr>
        <w:spacing w:line="256" w:lineRule="auto"/>
        <w:rPr>
          <w:rFonts w:ascii="Arial" w:eastAsia="Calibri" w:hAnsi="Arial" w:cs="Arial"/>
          <w:lang w:val="fr-FR"/>
        </w:rPr>
      </w:pPr>
    </w:p>
    <w:p w14:paraId="16C7BCD4" w14:textId="77777777" w:rsidR="00C03584" w:rsidRPr="00C03584" w:rsidRDefault="00C03584" w:rsidP="00C03584">
      <w:pPr>
        <w:spacing w:line="256" w:lineRule="auto"/>
        <w:rPr>
          <w:rFonts w:ascii="Arial" w:eastAsia="Calibri" w:hAnsi="Arial" w:cs="Arial"/>
          <w:b/>
          <w:bCs/>
          <w:sz w:val="22"/>
          <w:szCs w:val="22"/>
          <w:lang w:val="fr-FR" w:eastAsia="en-US"/>
        </w:rPr>
      </w:pPr>
    </w:p>
    <w:p w14:paraId="07A3CCD0" w14:textId="77777777" w:rsidR="00C03584" w:rsidRPr="00C03584" w:rsidRDefault="00C03584" w:rsidP="00C03584">
      <w:pPr>
        <w:spacing w:line="256" w:lineRule="auto"/>
        <w:rPr>
          <w:rFonts w:ascii="Arial" w:eastAsia="Calibri" w:hAnsi="Arial" w:cs="Arial"/>
          <w:b/>
          <w:bCs/>
          <w:sz w:val="22"/>
          <w:szCs w:val="22"/>
          <w:lang w:val="fr-FR" w:eastAsia="en-US"/>
        </w:rPr>
      </w:pPr>
    </w:p>
    <w:p w14:paraId="31F4F917" w14:textId="77777777" w:rsidR="00C03584" w:rsidRPr="00C03584" w:rsidRDefault="00C03584" w:rsidP="00C03584">
      <w:pPr>
        <w:spacing w:line="256" w:lineRule="auto"/>
        <w:rPr>
          <w:rFonts w:ascii="Arial" w:eastAsia="Calibri" w:hAnsi="Arial" w:cs="Arial"/>
          <w:b/>
          <w:bCs/>
          <w:sz w:val="22"/>
          <w:szCs w:val="22"/>
          <w:lang w:val="fr-FR" w:eastAsia="en-US"/>
        </w:rPr>
      </w:pPr>
    </w:p>
    <w:p w14:paraId="1E04C3AB" w14:textId="77777777" w:rsidR="00C03584" w:rsidRPr="00C03584" w:rsidRDefault="00C03584" w:rsidP="00C03584">
      <w:pPr>
        <w:spacing w:after="160" w:line="256" w:lineRule="auto"/>
        <w:rPr>
          <w:rFonts w:ascii="Arial" w:eastAsia="Calibri" w:hAnsi="Arial" w:cs="Arial"/>
          <w:b/>
          <w:bCs/>
          <w:sz w:val="22"/>
          <w:szCs w:val="22"/>
          <w:lang w:val="fr-FR" w:eastAsia="en-US"/>
        </w:rPr>
      </w:pPr>
    </w:p>
    <w:p w14:paraId="37D34892" w14:textId="77777777" w:rsidR="00C03584" w:rsidRPr="00C03584" w:rsidRDefault="00C03584" w:rsidP="00C03584">
      <w:pPr>
        <w:spacing w:after="160" w:line="256" w:lineRule="auto"/>
        <w:rPr>
          <w:rFonts w:ascii="Arial" w:eastAsia="Calibri" w:hAnsi="Arial" w:cs="Arial"/>
          <w:b/>
          <w:bCs/>
          <w:sz w:val="22"/>
          <w:szCs w:val="22"/>
          <w:lang w:val="fr-FR" w:eastAsia="en-US"/>
        </w:rPr>
      </w:pPr>
      <w:r w:rsidRPr="00C03584">
        <w:rPr>
          <w:rFonts w:ascii="Arial" w:eastAsia="Calibri" w:hAnsi="Arial"/>
          <w:b/>
          <w:sz w:val="22"/>
          <w:szCs w:val="22"/>
          <w:lang w:val="fr-FR" w:eastAsia="en-US"/>
        </w:rPr>
        <w:t>Palpage respectueux de l'environnement</w:t>
      </w:r>
    </w:p>
    <w:p w14:paraId="3F93CD86" w14:textId="4CC40D93"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Les mises à jour des composants électroniques des palpeurs et la transmission radio offrent une augmentation de l’autonomie jusqu'à 400 %, ce qui, combiné avec le RMI-QE, permet une autonomie de pointe allant jusqu'à 5 ans dans le cadre d’une utilisation courante. Mais, comme James Hartley, Responsable Applications et Marketing de la Division Produits pour machines-outils chez Renishaw, l’explique, ce changement de conception est plus qu’une amélioration de l’autonomie : « Nous sommes très fiers des progrès technologiques de ce système de nouvelle génération, tout comme nous sommes également fiers de notre projet continu visant à augmenter l'efficacité environnementale de nos produits. Avec les améliorations de l’autonomie présentées ici et avec les améliorations récentes de nos palpeurs à transmission optique OMP40</w:t>
      </w:r>
      <w:r w:rsidR="0025109A">
        <w:rPr>
          <w:rFonts w:ascii="Arial" w:eastAsia="Calibri" w:hAnsi="Arial"/>
          <w:szCs w:val="22"/>
          <w:lang w:val="fr-FR" w:eastAsia="en-US"/>
        </w:rPr>
        <w:t>-2</w:t>
      </w:r>
      <w:r w:rsidRPr="00C03584">
        <w:rPr>
          <w:rFonts w:ascii="Arial" w:eastAsia="Calibri" w:hAnsi="Arial"/>
          <w:szCs w:val="22"/>
          <w:lang w:val="fr-FR" w:eastAsia="en-US"/>
        </w:rPr>
        <w:t xml:space="preserve"> et OSP60, nous nous engageons à réduire l'impact environnemental de nos produits en réduisant les consommables qui leur sont associés. »</w:t>
      </w:r>
    </w:p>
    <w:p w14:paraId="24406845" w14:textId="77777777"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 xml:space="preserve">   </w:t>
      </w:r>
    </w:p>
    <w:p w14:paraId="55ECE9B2" w14:textId="77777777" w:rsidR="00C03584" w:rsidRPr="00C03584" w:rsidRDefault="00C03584" w:rsidP="00C03584">
      <w:pPr>
        <w:spacing w:after="160" w:line="256" w:lineRule="auto"/>
        <w:rPr>
          <w:rFonts w:ascii="Arial" w:eastAsia="Calibri" w:hAnsi="Arial" w:cs="Arial"/>
          <w:b/>
          <w:bCs/>
          <w:sz w:val="22"/>
          <w:szCs w:val="22"/>
          <w:lang w:val="fr-FR" w:eastAsia="en-US"/>
        </w:rPr>
      </w:pPr>
      <w:r w:rsidRPr="00C03584">
        <w:rPr>
          <w:rFonts w:ascii="Arial" w:eastAsia="Calibri" w:hAnsi="Arial"/>
          <w:b/>
          <w:sz w:val="22"/>
          <w:szCs w:val="22"/>
          <w:lang w:val="fr-FR" w:eastAsia="en-US"/>
        </w:rPr>
        <w:t>Votre partenaire pour une fabrication innovante</w:t>
      </w:r>
    </w:p>
    <w:p w14:paraId="7CCE2834" w14:textId="77777777"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 xml:space="preserve">Le système de palpage par transmission radio de dernière génération de Renishaw permet un réglage d'outils sur machine fiable et automatisé, une détection de bris d'outil, un réglage de pièces et un contrôle de pièce. L'intégration de ces méthodes de contrôle dans vos procédés de fabrication peut fournir les données dont vous avez besoin pour améliorer considérablement la productivité, l'utilisation de la machine, ainsi que réduire la dépendance en termes d’opérateurs et d'intervention humaine. </w:t>
      </w:r>
    </w:p>
    <w:p w14:paraId="0BE94B3B" w14:textId="77777777" w:rsidR="00C03584" w:rsidRPr="00C03584" w:rsidRDefault="00C03584" w:rsidP="00C03584">
      <w:pPr>
        <w:spacing w:after="160" w:line="256" w:lineRule="auto"/>
        <w:rPr>
          <w:rFonts w:ascii="Arial" w:eastAsia="Calibri" w:hAnsi="Arial" w:cs="Arial"/>
          <w:lang w:val="fr-FR"/>
        </w:rPr>
      </w:pPr>
    </w:p>
    <w:p w14:paraId="0FF7BF1F" w14:textId="77777777"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Pour plus d'informations, rendez-nous visite au salon EMO de Milan en Italie (du 4 au 9 octobre 2021)</w:t>
      </w:r>
    </w:p>
    <w:p w14:paraId="2E6BD3F1" w14:textId="77777777" w:rsidR="00C03584" w:rsidRPr="00C03584" w:rsidRDefault="00C03584" w:rsidP="00C03584">
      <w:pPr>
        <w:spacing w:after="160" w:line="256" w:lineRule="auto"/>
        <w:rPr>
          <w:rFonts w:ascii="Arial" w:eastAsia="Calibri" w:hAnsi="Arial" w:cs="Arial"/>
          <w:lang w:val="fr-FR" w:eastAsia="en-US"/>
        </w:rPr>
      </w:pPr>
    </w:p>
    <w:p w14:paraId="79AE898E" w14:textId="77777777" w:rsidR="00C03584" w:rsidRPr="00C03584" w:rsidRDefault="00C03584" w:rsidP="00C03584">
      <w:pPr>
        <w:spacing w:after="160" w:line="256" w:lineRule="auto"/>
        <w:rPr>
          <w:rFonts w:ascii="Arial" w:eastAsia="Calibri" w:hAnsi="Arial" w:cs="Arial"/>
          <w:lang w:val="fr-FR" w:eastAsia="en-US"/>
        </w:rPr>
      </w:pPr>
      <w:r w:rsidRPr="00C03584">
        <w:rPr>
          <w:rFonts w:ascii="Arial" w:eastAsia="Calibri" w:hAnsi="Arial"/>
          <w:szCs w:val="22"/>
          <w:lang w:val="fr-FR" w:eastAsia="en-US"/>
        </w:rPr>
        <w:t>iMessage® est une marque de commerce de Apple Inc.</w:t>
      </w:r>
      <w:r w:rsidRPr="00C03584">
        <w:rPr>
          <w:rFonts w:ascii="Arial" w:eastAsia="Calibri" w:hAnsi="Arial"/>
          <w:szCs w:val="22"/>
          <w:lang w:val="fr-FR" w:eastAsia="en-US"/>
        </w:rPr>
        <w:tab/>
      </w:r>
      <w:r w:rsidRPr="00C03584">
        <w:rPr>
          <w:rFonts w:ascii="Arial" w:eastAsia="Calibri" w:hAnsi="Arial"/>
          <w:szCs w:val="22"/>
          <w:lang w:val="fr-FR" w:eastAsia="en-US"/>
        </w:rPr>
        <w:tab/>
      </w:r>
      <w:r w:rsidRPr="00C03584">
        <w:rPr>
          <w:rFonts w:ascii="Arial" w:eastAsia="Calibri" w:hAnsi="Arial"/>
          <w:szCs w:val="22"/>
          <w:lang w:val="fr-FR" w:eastAsia="en-US"/>
        </w:rPr>
        <w:tab/>
      </w:r>
      <w:r w:rsidRPr="00C03584">
        <w:rPr>
          <w:rFonts w:ascii="Arial" w:eastAsia="Calibri" w:hAnsi="Arial"/>
          <w:szCs w:val="22"/>
          <w:lang w:val="fr-FR" w:eastAsia="en-US"/>
        </w:rPr>
        <w:tab/>
      </w:r>
      <w:r w:rsidRPr="00C03584">
        <w:rPr>
          <w:rFonts w:ascii="Arial" w:eastAsia="Calibri" w:hAnsi="Arial"/>
          <w:szCs w:val="22"/>
          <w:lang w:val="fr-FR" w:eastAsia="en-US"/>
        </w:rPr>
        <w:tab/>
      </w:r>
      <w:r w:rsidRPr="00C03584">
        <w:rPr>
          <w:rFonts w:ascii="Arial" w:eastAsia="Calibri" w:hAnsi="Arial"/>
          <w:szCs w:val="22"/>
          <w:lang w:val="fr-FR" w:eastAsia="en-US"/>
        </w:rPr>
        <w:tab/>
      </w:r>
    </w:p>
    <w:p w14:paraId="37E017F4" w14:textId="77777777" w:rsidR="00C03584" w:rsidRPr="00C03584" w:rsidRDefault="00C03584" w:rsidP="00C03584">
      <w:pPr>
        <w:spacing w:after="160" w:line="256" w:lineRule="auto"/>
        <w:rPr>
          <w:rFonts w:ascii="Arial" w:eastAsia="Calibri" w:hAnsi="Arial" w:cs="Arial"/>
          <w:lang w:val="fr-FR" w:eastAsia="en-US"/>
        </w:rPr>
      </w:pPr>
    </w:p>
    <w:p w14:paraId="2B03BFC9" w14:textId="77777777" w:rsidR="00C03584" w:rsidRPr="00C03584" w:rsidRDefault="00C03584" w:rsidP="00C03584">
      <w:pPr>
        <w:spacing w:after="160" w:line="256" w:lineRule="auto"/>
        <w:jc w:val="center"/>
        <w:rPr>
          <w:rFonts w:ascii="Arial" w:eastAsia="Calibri" w:hAnsi="Arial" w:cs="Arial"/>
          <w:sz w:val="22"/>
          <w:szCs w:val="22"/>
          <w:lang w:val="fr-FR" w:eastAsia="en-US"/>
        </w:rPr>
      </w:pPr>
      <w:r w:rsidRPr="00C03584">
        <w:rPr>
          <w:rFonts w:ascii="Arial" w:eastAsia="Calibri" w:hAnsi="Arial"/>
          <w:sz w:val="22"/>
          <w:szCs w:val="24"/>
          <w:lang w:val="fr-FR" w:eastAsia="en-US"/>
        </w:rPr>
        <w:t>-Fin-</w:t>
      </w:r>
    </w:p>
    <w:p w14:paraId="49E15B2F" w14:textId="77777777" w:rsidR="00C03584" w:rsidRPr="00C03584" w:rsidRDefault="00C03584" w:rsidP="00C03584">
      <w:pPr>
        <w:spacing w:after="160" w:line="256" w:lineRule="auto"/>
        <w:rPr>
          <w:rFonts w:ascii="Arial" w:eastAsia="Calibri" w:hAnsi="Arial" w:cs="Arial"/>
          <w:color w:val="0070C0"/>
          <w:lang w:val="fr-FR" w:eastAsia="en-US"/>
        </w:rPr>
      </w:pPr>
      <w:r w:rsidRPr="00C03584">
        <w:rPr>
          <w:rFonts w:ascii="Calibri" w:eastAsia="Calibri" w:hAnsi="Calibri"/>
          <w:sz w:val="22"/>
          <w:szCs w:val="22"/>
          <w:lang w:val="fr-FR" w:eastAsia="en-US"/>
        </w:rPr>
        <w:br w:type="page"/>
      </w:r>
    </w:p>
    <w:p w14:paraId="6573F9C1" w14:textId="77777777" w:rsidR="00C03584" w:rsidRPr="00C03584" w:rsidRDefault="00C03584" w:rsidP="00C03584">
      <w:pPr>
        <w:spacing w:after="160" w:line="256" w:lineRule="auto"/>
        <w:jc w:val="center"/>
        <w:rPr>
          <w:rFonts w:ascii="Arial" w:eastAsia="Calibri" w:hAnsi="Arial" w:cs="Arial"/>
          <w:color w:val="0070C0"/>
          <w:lang w:val="fr-FR" w:eastAsia="en-US"/>
        </w:rPr>
      </w:pPr>
    </w:p>
    <w:p w14:paraId="2D415F98" w14:textId="77777777" w:rsidR="00C03584" w:rsidRPr="00C03584" w:rsidRDefault="00C03584" w:rsidP="00C03584">
      <w:pPr>
        <w:spacing w:after="160" w:line="256" w:lineRule="auto"/>
        <w:jc w:val="center"/>
        <w:rPr>
          <w:rFonts w:ascii="Arial" w:eastAsia="Calibri" w:hAnsi="Arial" w:cs="Arial"/>
          <w:color w:val="0070C0"/>
          <w:lang w:val="fr-FR" w:eastAsia="en-US"/>
        </w:rPr>
      </w:pPr>
      <w:r w:rsidRPr="00C03584">
        <w:rPr>
          <w:rFonts w:ascii="Arial" w:eastAsia="Calibri" w:hAnsi="Arial"/>
          <w:noProof/>
          <w:color w:val="0070C0"/>
          <w:szCs w:val="22"/>
          <w:lang w:val="fr-FR" w:eastAsia="en-US"/>
        </w:rPr>
        <w:drawing>
          <wp:inline distT="0" distB="0" distL="0" distR="0" wp14:anchorId="116F60B4" wp14:editId="78DD8A17">
            <wp:extent cx="4533900" cy="3019425"/>
            <wp:effectExtent l="0" t="0" r="0" b="952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3019425"/>
                    </a:xfrm>
                    <a:prstGeom prst="rect">
                      <a:avLst/>
                    </a:prstGeom>
                    <a:noFill/>
                    <a:ln>
                      <a:noFill/>
                    </a:ln>
                  </pic:spPr>
                </pic:pic>
              </a:graphicData>
            </a:graphic>
          </wp:inline>
        </w:drawing>
      </w:r>
    </w:p>
    <w:p w14:paraId="3FFD1513" w14:textId="77777777" w:rsidR="00C03584" w:rsidRPr="00C03584" w:rsidRDefault="00C03584" w:rsidP="00C03584">
      <w:pPr>
        <w:spacing w:after="160" w:line="256" w:lineRule="auto"/>
        <w:jc w:val="center"/>
        <w:rPr>
          <w:rFonts w:ascii="Arial" w:eastAsia="Calibri" w:hAnsi="Arial" w:cs="Arial"/>
          <w:lang w:val="fr-FR" w:eastAsia="en-US"/>
        </w:rPr>
      </w:pPr>
      <w:r w:rsidRPr="00C03584">
        <w:rPr>
          <w:rFonts w:ascii="Arial" w:eastAsia="Calibri" w:hAnsi="Arial"/>
          <w:szCs w:val="22"/>
          <w:lang w:val="fr-FR" w:eastAsia="en-US"/>
        </w:rPr>
        <w:t>Interface radio RMI-QE</w:t>
      </w:r>
    </w:p>
    <w:p w14:paraId="6B1E3EFC" w14:textId="77777777" w:rsidR="00C03584" w:rsidRPr="00C03584" w:rsidRDefault="00C03584" w:rsidP="00C03584">
      <w:pPr>
        <w:spacing w:after="160" w:line="256" w:lineRule="auto"/>
        <w:jc w:val="center"/>
        <w:rPr>
          <w:rFonts w:ascii="Arial" w:eastAsia="Calibri" w:hAnsi="Arial" w:cs="Arial"/>
          <w:color w:val="0070C0"/>
          <w:lang w:val="fr-FR" w:eastAsia="en-US"/>
        </w:rPr>
      </w:pPr>
    </w:p>
    <w:p w14:paraId="02633586" w14:textId="77777777" w:rsidR="00C03584" w:rsidRPr="00C03584" w:rsidRDefault="00C03584" w:rsidP="00C03584">
      <w:pPr>
        <w:spacing w:after="160" w:line="256" w:lineRule="auto"/>
        <w:jc w:val="center"/>
        <w:rPr>
          <w:rFonts w:ascii="Arial" w:eastAsia="Calibri" w:hAnsi="Arial" w:cs="Arial"/>
          <w:color w:val="0070C0"/>
          <w:lang w:val="fr-FR" w:eastAsia="en-US"/>
        </w:rPr>
      </w:pPr>
      <w:r w:rsidRPr="00C03584">
        <w:rPr>
          <w:rFonts w:ascii="Arial" w:eastAsia="Calibri" w:hAnsi="Arial"/>
          <w:noProof/>
          <w:color w:val="0070C0"/>
          <w:szCs w:val="22"/>
          <w:lang w:val="fr-FR" w:eastAsia="en-US"/>
        </w:rPr>
        <w:drawing>
          <wp:inline distT="0" distB="0" distL="0" distR="0" wp14:anchorId="6607971A" wp14:editId="4C3CBF4C">
            <wp:extent cx="4533900" cy="31337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3133725"/>
                    </a:xfrm>
                    <a:prstGeom prst="rect">
                      <a:avLst/>
                    </a:prstGeom>
                    <a:noFill/>
                    <a:ln>
                      <a:noFill/>
                    </a:ln>
                  </pic:spPr>
                </pic:pic>
              </a:graphicData>
            </a:graphic>
          </wp:inline>
        </w:drawing>
      </w:r>
    </w:p>
    <w:p w14:paraId="3308FF6A" w14:textId="10B06F8E" w:rsidR="00C03584" w:rsidRPr="00C03584" w:rsidRDefault="00C03584" w:rsidP="00C03584">
      <w:pPr>
        <w:spacing w:after="160" w:line="256" w:lineRule="auto"/>
        <w:jc w:val="center"/>
        <w:rPr>
          <w:rFonts w:ascii="Arial" w:eastAsia="Calibri" w:hAnsi="Arial" w:cs="Arial"/>
          <w:lang w:val="fr-FR" w:eastAsia="en-US"/>
        </w:rPr>
      </w:pPr>
      <w:r w:rsidRPr="00C03584">
        <w:rPr>
          <w:rFonts w:ascii="Arial" w:eastAsia="Calibri" w:hAnsi="Arial"/>
          <w:szCs w:val="22"/>
          <w:lang w:val="fr-FR" w:eastAsia="en-US"/>
        </w:rPr>
        <w:t>Palpeur sur broche RMP</w:t>
      </w:r>
      <w:r w:rsidR="008F7928">
        <w:rPr>
          <w:rFonts w:ascii="Arial" w:eastAsia="Calibri" w:hAnsi="Arial"/>
          <w:szCs w:val="22"/>
          <w:lang w:val="fr-FR" w:eastAsia="en-US"/>
        </w:rPr>
        <w:t>60</w:t>
      </w:r>
      <w:r w:rsidRPr="00C03584">
        <w:rPr>
          <w:rFonts w:ascii="Arial" w:eastAsia="Calibri" w:hAnsi="Arial"/>
          <w:szCs w:val="22"/>
          <w:lang w:val="fr-FR" w:eastAsia="en-US"/>
        </w:rPr>
        <w:t>, système de réglage d'outil RTS et interface radio RMI-QE sur machine</w:t>
      </w:r>
    </w:p>
    <w:p w14:paraId="7B3B6604" w14:textId="77777777" w:rsidR="00C03584" w:rsidRPr="00C03584" w:rsidRDefault="00C03584" w:rsidP="00C03584">
      <w:pPr>
        <w:spacing w:after="160" w:line="256" w:lineRule="auto"/>
        <w:jc w:val="center"/>
        <w:rPr>
          <w:rFonts w:ascii="Arial" w:eastAsia="Calibri" w:hAnsi="Arial" w:cs="Arial"/>
          <w:color w:val="0070C0"/>
          <w:lang w:val="fr-FR" w:eastAsia="en-US"/>
        </w:rPr>
      </w:pPr>
    </w:p>
    <w:p w14:paraId="30C59680" w14:textId="77777777" w:rsidR="00C03584" w:rsidRPr="00C03584" w:rsidRDefault="00C03584" w:rsidP="00C03584">
      <w:pPr>
        <w:spacing w:after="160" w:line="256" w:lineRule="auto"/>
        <w:jc w:val="center"/>
        <w:rPr>
          <w:rFonts w:ascii="Arial" w:eastAsia="Calibri" w:hAnsi="Arial" w:cs="Arial"/>
          <w:color w:val="0070C0"/>
          <w:lang w:val="fr-FR" w:eastAsia="en-US"/>
        </w:rPr>
      </w:pPr>
      <w:r w:rsidRPr="00C03584">
        <w:rPr>
          <w:rFonts w:ascii="Arial" w:eastAsia="Calibri" w:hAnsi="Arial"/>
          <w:noProof/>
          <w:szCs w:val="22"/>
          <w:lang w:val="fr-FR" w:eastAsia="en-US"/>
        </w:rPr>
        <w:lastRenderedPageBreak/>
        <w:drawing>
          <wp:inline distT="0" distB="0" distL="0" distR="0" wp14:anchorId="5183B44E" wp14:editId="44A8EB2E">
            <wp:extent cx="4533900" cy="30289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3028950"/>
                    </a:xfrm>
                    <a:prstGeom prst="rect">
                      <a:avLst/>
                    </a:prstGeom>
                    <a:noFill/>
                    <a:ln>
                      <a:noFill/>
                    </a:ln>
                  </pic:spPr>
                </pic:pic>
              </a:graphicData>
            </a:graphic>
          </wp:inline>
        </w:drawing>
      </w:r>
    </w:p>
    <w:p w14:paraId="272B6778" w14:textId="77777777" w:rsidR="00C03584" w:rsidRPr="00C03584" w:rsidRDefault="00C03584" w:rsidP="00C03584">
      <w:pPr>
        <w:spacing w:after="160" w:line="256" w:lineRule="auto"/>
        <w:jc w:val="center"/>
        <w:rPr>
          <w:rFonts w:ascii="Arial" w:eastAsia="Calibri" w:hAnsi="Arial" w:cs="Arial"/>
          <w:lang w:val="fr-FR" w:eastAsia="en-US"/>
        </w:rPr>
      </w:pPr>
      <w:r w:rsidRPr="00C03584">
        <w:rPr>
          <w:rFonts w:ascii="Arial" w:eastAsia="Calibri" w:hAnsi="Arial"/>
          <w:szCs w:val="22"/>
          <w:lang w:val="fr-FR" w:eastAsia="en-US"/>
        </w:rPr>
        <w:t>Symbole Opti-Logic™ sur le palpeur sur broche RMP60</w:t>
      </w:r>
    </w:p>
    <w:p w14:paraId="472D3E8F" w14:textId="77777777" w:rsidR="00C03584" w:rsidRPr="00C03584" w:rsidRDefault="00C03584" w:rsidP="00C03584">
      <w:pPr>
        <w:spacing w:after="160" w:line="256" w:lineRule="auto"/>
        <w:jc w:val="center"/>
        <w:rPr>
          <w:rFonts w:ascii="Arial" w:eastAsia="Calibri" w:hAnsi="Arial" w:cs="Arial"/>
          <w:lang w:val="fr-FR" w:eastAsia="en-US"/>
        </w:rPr>
      </w:pPr>
    </w:p>
    <w:p w14:paraId="2DC5D73B" w14:textId="77777777" w:rsidR="00C03584" w:rsidRPr="00C03584" w:rsidRDefault="00C03584" w:rsidP="00C03584">
      <w:pPr>
        <w:spacing w:after="160" w:line="256" w:lineRule="auto"/>
        <w:jc w:val="center"/>
        <w:rPr>
          <w:rFonts w:ascii="Arial" w:eastAsia="Calibri" w:hAnsi="Arial" w:cs="Arial"/>
          <w:lang w:val="fr-FR" w:eastAsia="en-US"/>
        </w:rPr>
      </w:pPr>
      <w:r w:rsidRPr="00C03584">
        <w:rPr>
          <w:rFonts w:ascii="Arial" w:eastAsia="Calibri" w:hAnsi="Arial"/>
          <w:noProof/>
          <w:szCs w:val="22"/>
          <w:lang w:val="fr-FR" w:eastAsia="en-US"/>
        </w:rPr>
        <w:drawing>
          <wp:inline distT="0" distB="0" distL="0" distR="0" wp14:anchorId="1F530B32" wp14:editId="4FE13B94">
            <wp:extent cx="4533900" cy="3019425"/>
            <wp:effectExtent l="0" t="0" r="0"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3019425"/>
                    </a:xfrm>
                    <a:prstGeom prst="rect">
                      <a:avLst/>
                    </a:prstGeom>
                    <a:noFill/>
                    <a:ln>
                      <a:noFill/>
                    </a:ln>
                  </pic:spPr>
                </pic:pic>
              </a:graphicData>
            </a:graphic>
          </wp:inline>
        </w:drawing>
      </w:r>
    </w:p>
    <w:p w14:paraId="19DEBFC3" w14:textId="77777777" w:rsidR="00C03584" w:rsidRPr="00C03584" w:rsidRDefault="00C03584" w:rsidP="00C03584">
      <w:pPr>
        <w:spacing w:after="160" w:line="256" w:lineRule="auto"/>
        <w:jc w:val="center"/>
        <w:rPr>
          <w:rFonts w:ascii="Arial" w:eastAsia="Calibri" w:hAnsi="Arial" w:cs="Arial"/>
          <w:lang w:val="fr-FR" w:eastAsia="en-US"/>
        </w:rPr>
      </w:pPr>
      <w:r w:rsidRPr="00C03584">
        <w:rPr>
          <w:rFonts w:ascii="Arial" w:eastAsia="Calibri" w:hAnsi="Arial"/>
          <w:szCs w:val="22"/>
          <w:lang w:val="fr-FR" w:eastAsia="en-US"/>
        </w:rPr>
        <w:t>Configuration du palpeur en utilisant l'application Paramètres Palpeur</w:t>
      </w:r>
    </w:p>
    <w:p w14:paraId="54CB8BCE"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4064A" w14:textId="77777777" w:rsidR="007D5450" w:rsidRDefault="007D5450" w:rsidP="002E2F8C">
      <w:r>
        <w:separator/>
      </w:r>
    </w:p>
  </w:endnote>
  <w:endnote w:type="continuationSeparator" w:id="0">
    <w:p w14:paraId="6610FAA6"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80605" w14:textId="77777777" w:rsidR="007D5450" w:rsidRDefault="007D5450" w:rsidP="002E2F8C">
      <w:r>
        <w:separator/>
      </w:r>
    </w:p>
  </w:footnote>
  <w:footnote w:type="continuationSeparator" w:id="0">
    <w:p w14:paraId="2F6D4582"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109A"/>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928"/>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58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13627B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17917070">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57176653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2453512">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5115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4</cp:revision>
  <cp:lastPrinted>2015-06-09T12:12:00Z</cp:lastPrinted>
  <dcterms:created xsi:type="dcterms:W3CDTF">2021-06-07T14:34:00Z</dcterms:created>
  <dcterms:modified xsi:type="dcterms:W3CDTF">2021-06-22T13:44:00Z</dcterms:modified>
</cp:coreProperties>
</file>